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proofErr w:type="spellStart"/>
      <w:r w:rsidR="001C3EBF">
        <w:rPr>
          <w:sz w:val="24"/>
          <w:szCs w:val="24"/>
        </w:rPr>
        <w:t>Ingleton</w:t>
      </w:r>
      <w:proofErr w:type="spellEnd"/>
      <w:r w:rsidR="001C3EBF">
        <w:rPr>
          <w:sz w:val="24"/>
          <w:szCs w:val="24"/>
        </w:rPr>
        <w:t xml:space="preserve"> </w:t>
      </w:r>
      <w:r>
        <w:rPr>
          <w:b/>
          <w:sz w:val="24"/>
          <w:szCs w:val="24"/>
        </w:rPr>
        <w:t xml:space="preserve"> </w:t>
      </w:r>
    </w:p>
    <w:p w:rsidR="00C1109B" w:rsidRDefault="00CD432F" w:rsidP="00CD432F">
      <w:pPr>
        <w:rPr>
          <w:sz w:val="24"/>
          <w:szCs w:val="24"/>
        </w:rPr>
      </w:pPr>
      <w:r>
        <w:rPr>
          <w:b/>
          <w:sz w:val="24"/>
          <w:szCs w:val="24"/>
        </w:rPr>
        <w:t xml:space="preserve">Site Number and Address: </w:t>
      </w:r>
      <w:r w:rsidR="00323DA0">
        <w:rPr>
          <w:sz w:val="24"/>
          <w:szCs w:val="24"/>
        </w:rPr>
        <w:t>IN010</w:t>
      </w:r>
      <w:r w:rsidR="00F85A12">
        <w:rPr>
          <w:sz w:val="24"/>
          <w:szCs w:val="24"/>
        </w:rPr>
        <w:t>;</w:t>
      </w:r>
      <w:r w:rsidR="001C3EBF">
        <w:rPr>
          <w:sz w:val="24"/>
          <w:szCs w:val="24"/>
        </w:rPr>
        <w:t xml:space="preserve"> </w:t>
      </w:r>
      <w:r w:rsidR="00240D7F">
        <w:rPr>
          <w:sz w:val="24"/>
          <w:szCs w:val="24"/>
        </w:rPr>
        <w:t>Caravan Park, north of River Greta</w:t>
      </w:r>
      <w:r w:rsidRPr="00CD432F">
        <w:rPr>
          <w:sz w:val="24"/>
          <w:szCs w:val="24"/>
        </w:rPr>
        <w: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240D7F" w:rsidRDefault="00240D7F">
      <w:pPr>
        <w:rPr>
          <w:b/>
          <w:sz w:val="24"/>
          <w:szCs w:val="24"/>
          <w:u w:val="single"/>
        </w:rPr>
      </w:pPr>
      <w:r w:rsidRPr="00240D7F">
        <w:rPr>
          <w:noProof/>
          <w:lang w:eastAsia="en-GB"/>
        </w:rPr>
        <w:drawing>
          <wp:inline distT="0" distB="0" distL="0" distR="0" wp14:anchorId="5FC1AD97" wp14:editId="242D73C4">
            <wp:extent cx="8863330" cy="722952"/>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3330" cy="722952"/>
                    </a:xfrm>
                    <a:prstGeom prst="rect">
                      <a:avLst/>
                    </a:prstGeom>
                    <a:noFill/>
                    <a:ln>
                      <a:noFill/>
                    </a:ln>
                  </pic:spPr>
                </pic:pic>
              </a:graphicData>
            </a:graphic>
          </wp:inline>
        </w:drawing>
      </w:r>
    </w:p>
    <w:p w:rsidR="006A0E5C" w:rsidRPr="00776515" w:rsidRDefault="008E38D7">
      <w:pPr>
        <w:rPr>
          <w:b/>
          <w:sz w:val="24"/>
          <w:szCs w:val="24"/>
          <w:u w:val="single"/>
        </w:rPr>
      </w:pPr>
      <w:r w:rsidRPr="008E38D7">
        <w:rPr>
          <w:noProof/>
          <w:lang w:eastAsia="en-GB"/>
        </w:rPr>
        <w:drawing>
          <wp:inline distT="0" distB="0" distL="0" distR="0" wp14:anchorId="28122AD7" wp14:editId="5C0247F4">
            <wp:extent cx="8863330" cy="101145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011457"/>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1C3EBF">
        <w:t xml:space="preserve">eferred Sites list for </w:t>
      </w:r>
      <w:proofErr w:type="spellStart"/>
      <w:r w:rsidR="001C3EBF">
        <w:t>Ingleton</w:t>
      </w:r>
      <w:proofErr w:type="spellEnd"/>
      <w:r>
        <w:t>, subject to Stage 2 analysis below, and also a possible comparison of the site’s merits with oth</w:t>
      </w:r>
      <w:r w:rsidR="001C3EBF">
        <w:t xml:space="preserve">er sustainable sites in </w:t>
      </w:r>
      <w:proofErr w:type="spellStart"/>
      <w:r w:rsidR="001C3EBF">
        <w:t>Ingleton</w:t>
      </w:r>
      <w:proofErr w:type="spellEnd"/>
      <w:r>
        <w:t xml:space="preserve"> if a surplus of sites exists. </w:t>
      </w:r>
    </w:p>
    <w:p w:rsidR="00C1109B" w:rsidRPr="00C1109B" w:rsidRDefault="00C1109B">
      <w:pPr>
        <w:rPr>
          <w:b/>
        </w:rPr>
      </w:pPr>
    </w:p>
    <w:p w:rsidR="00F85A12" w:rsidRPr="00776515" w:rsidRDefault="00B21C52">
      <w:pPr>
        <w:rPr>
          <w:b/>
          <w:sz w:val="24"/>
          <w:szCs w:val="24"/>
          <w:u w:val="single"/>
        </w:rPr>
      </w:pPr>
      <w:r>
        <w:rPr>
          <w:b/>
          <w:sz w:val="24"/>
          <w:szCs w:val="24"/>
          <w:u w:val="single"/>
        </w:rPr>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likely to deliver 11 or more dwellings (irrespective of being in a designated rural area or not). Affordable housing on site is </w:t>
            </w:r>
            <w:r w:rsidRPr="00CD432F">
              <w:lastRenderedPageBreak/>
              <w:t>obtained.</w:t>
            </w:r>
          </w:p>
        </w:tc>
        <w:tc>
          <w:tcPr>
            <w:tcW w:w="1275" w:type="dxa"/>
          </w:tcPr>
          <w:p w:rsidR="00CD432F" w:rsidRPr="00B21C52" w:rsidRDefault="00240D7F" w:rsidP="00B21C52">
            <w:pPr>
              <w:jc w:val="center"/>
              <w:rPr>
                <w:b/>
              </w:rPr>
            </w:pPr>
            <w:r>
              <w:rPr>
                <w:b/>
              </w:rPr>
              <w:lastRenderedPageBreak/>
              <w:t>Yes</w:t>
            </w:r>
          </w:p>
        </w:tc>
      </w:tr>
      <w:tr w:rsidR="00CD432F" w:rsidRPr="00CD432F" w:rsidTr="00776515">
        <w:tc>
          <w:tcPr>
            <w:tcW w:w="13008" w:type="dxa"/>
          </w:tcPr>
          <w:p w:rsidR="00CD432F" w:rsidRPr="00CD432F" w:rsidRDefault="00CD432F" w:rsidP="00CD432F">
            <w:pPr>
              <w:numPr>
                <w:ilvl w:val="0"/>
                <w:numId w:val="3"/>
              </w:numPr>
              <w:contextualSpacing/>
            </w:pPr>
            <w:r w:rsidRPr="00CD432F">
              <w:lastRenderedPageBreak/>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240D7F" w:rsidP="00B21C52">
            <w:pPr>
              <w:jc w:val="center"/>
              <w:rPr>
                <w:b/>
              </w:rPr>
            </w:pPr>
            <w:r>
              <w:rPr>
                <w:b/>
              </w:rPr>
              <w:t>west</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1C3EBF"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240D7F" w:rsidP="00B21C52">
            <w:pPr>
              <w:jc w:val="center"/>
              <w:rPr>
                <w:b/>
              </w:rPr>
            </w:pPr>
            <w:r>
              <w:rPr>
                <w:b/>
              </w:rPr>
              <w:t>west</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1C3EBF"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1C3EBF" w:rsidRDefault="00C1109B" w:rsidP="001C3EBF">
      <w:pPr>
        <w:jc w:val="both"/>
      </w:pPr>
      <w:r w:rsidRPr="00F62E2A">
        <w:rPr>
          <w:b/>
          <w:i/>
        </w:rPr>
        <w:lastRenderedPageBreak/>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1C3EBF">
        <w:t xml:space="preserve">te options in </w:t>
      </w:r>
      <w:proofErr w:type="spellStart"/>
      <w:r w:rsidR="001C3EBF">
        <w:t>Ingleton</w:t>
      </w:r>
      <w:proofErr w:type="spellEnd"/>
      <w:r w:rsidR="001C3EBF">
        <w:t>,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1C3EBF" w:rsidRDefault="00776515" w:rsidP="001C3EBF">
      <w:pPr>
        <w:jc w:val="both"/>
      </w:pPr>
      <w:r w:rsidRPr="00776515">
        <w:rPr>
          <w:b/>
          <w:sz w:val="24"/>
          <w:szCs w:val="24"/>
          <w:u w:val="single"/>
        </w:rPr>
        <w:t xml:space="preserve">Narrative of Site Analysis </w:t>
      </w:r>
    </w:p>
    <w:p w:rsidR="007C4CD1" w:rsidRDefault="004E08BD" w:rsidP="00834C80">
      <w:pPr>
        <w:jc w:val="both"/>
      </w:pPr>
      <w:r>
        <w:t>Site IN010</w:t>
      </w:r>
      <w:r w:rsidR="00834C80">
        <w:t xml:space="preserve"> </w:t>
      </w:r>
      <w:r w:rsidR="00A24761">
        <w:t xml:space="preserve">is located </w:t>
      </w:r>
      <w:r w:rsidR="001B3FDF">
        <w:t>within the built up area of the settlement, and this allows</w:t>
      </w:r>
      <w:r w:rsidR="00834C80">
        <w:t xml:space="preserve"> </w:t>
      </w:r>
      <w:r w:rsidR="001B3FDF">
        <w:t>relatively easy</w:t>
      </w:r>
      <w:r w:rsidR="00834C80">
        <w:t xml:space="preserve"> </w:t>
      </w:r>
      <w:r w:rsidR="00E22A10">
        <w:t>access</w:t>
      </w:r>
      <w:r w:rsidR="00834C80">
        <w:t xml:space="preserve"> to the town’s services</w:t>
      </w:r>
      <w:r w:rsidR="00E22A10">
        <w:t>,</w:t>
      </w:r>
      <w:r w:rsidR="00834C80">
        <w:t xml:space="preserve"> and hence improving connectivity and reducing the need for travel. </w:t>
      </w:r>
      <w:r>
        <w:t xml:space="preserve">This is a good opportunity to improve the visual built character of </w:t>
      </w:r>
      <w:proofErr w:type="spellStart"/>
      <w:r>
        <w:t>Ingleton</w:t>
      </w:r>
      <w:proofErr w:type="spellEnd"/>
      <w:r>
        <w:t xml:space="preserve"> on a prominent site underneath the viaduct.</w:t>
      </w:r>
    </w:p>
    <w:p w:rsidR="00834C80" w:rsidRDefault="006B2820">
      <w:pPr>
        <w:rPr>
          <w:b/>
        </w:rPr>
      </w:pPr>
      <w:r>
        <w:rPr>
          <w:b/>
          <w:i/>
        </w:rPr>
        <w:t>Approximate</w:t>
      </w:r>
      <w:r w:rsidR="00C1109B" w:rsidRPr="007C4CD1">
        <w:rPr>
          <w:b/>
          <w:i/>
        </w:rPr>
        <w:t xml:space="preserve"> Area:</w:t>
      </w:r>
      <w:r w:rsidR="00C1109B">
        <w:rPr>
          <w:b/>
        </w:rPr>
        <w:t xml:space="preserve"> </w:t>
      </w:r>
      <w:r>
        <w:t>0.4</w:t>
      </w:r>
      <w:r w:rsidR="004E08BD">
        <w:t xml:space="preserve"> hectares</w:t>
      </w:r>
      <w:r w:rsidR="00F2287F">
        <w:t>.</w:t>
      </w:r>
    </w:p>
    <w:p w:rsidR="00C1109B" w:rsidRDefault="006B2820">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t>13</w:t>
      </w:r>
      <w:r w:rsidR="00F2287F">
        <w:t xml:space="preserve"> dwellings (</w:t>
      </w:r>
      <w:r>
        <w:t>0.4</w:t>
      </w:r>
      <w:r w:rsidR="00F2287F">
        <w:t xml:space="preserve"> hectares</w:t>
      </w:r>
      <w:r w:rsidR="00834C80" w:rsidRPr="00834C80">
        <w:t xml:space="preserve"> x </w:t>
      </w:r>
      <w:r w:rsidR="00F2287F">
        <w:t>32 dwellings per hectare).</w:t>
      </w:r>
    </w:p>
    <w:p w:rsidR="00F2287F" w:rsidRDefault="00F2287F">
      <w:pPr>
        <w:rPr>
          <w:b/>
          <w:i/>
        </w:rPr>
      </w:pPr>
      <w:r w:rsidRPr="007C4CD1">
        <w:rPr>
          <w:b/>
          <w:i/>
        </w:rPr>
        <w:t xml:space="preserve">Development Principles: </w:t>
      </w:r>
    </w:p>
    <w:p w:rsidR="0054577A" w:rsidRPr="0054577A" w:rsidRDefault="0054577A" w:rsidP="0054577A">
      <w:pPr>
        <w:numPr>
          <w:ilvl w:val="0"/>
          <w:numId w:val="10"/>
        </w:numPr>
        <w:contextualSpacing/>
        <w:rPr>
          <w:rFonts w:cstheme="minorHAnsi"/>
        </w:rPr>
      </w:pPr>
      <w:r w:rsidRPr="0054577A">
        <w:rPr>
          <w:rFonts w:cstheme="minorHAnsi"/>
        </w:rPr>
        <w:t xml:space="preserve">Siting and design of development on the site to conserve the significance of heritage assets on and adjacent to the site and their settings (the grade II listed bridges to the south and north of the site: </w:t>
      </w:r>
      <w:proofErr w:type="spellStart"/>
      <w:r w:rsidRPr="0054577A">
        <w:rPr>
          <w:rFonts w:cstheme="minorHAnsi"/>
        </w:rPr>
        <w:t>Ingleton</w:t>
      </w:r>
      <w:proofErr w:type="spellEnd"/>
      <w:r w:rsidRPr="0054577A">
        <w:rPr>
          <w:rFonts w:cstheme="minorHAnsi"/>
        </w:rPr>
        <w:t xml:space="preserve"> Viaduct and Bridge to the north east of </w:t>
      </w:r>
      <w:proofErr w:type="spellStart"/>
      <w:r w:rsidRPr="0054577A">
        <w:rPr>
          <w:rFonts w:cstheme="minorHAnsi"/>
        </w:rPr>
        <w:t>Broadwood</w:t>
      </w:r>
      <w:proofErr w:type="spellEnd"/>
      <w:r w:rsidRPr="0054577A">
        <w:rPr>
          <w:rFonts w:cstheme="minorHAnsi"/>
        </w:rPr>
        <w:t xml:space="preserve"> Cottage, Bridge End respectively; </w:t>
      </w:r>
      <w:r>
        <w:rPr>
          <w:rFonts w:cstheme="minorHAnsi"/>
        </w:rPr>
        <w:t xml:space="preserve">and </w:t>
      </w:r>
      <w:proofErr w:type="spellStart"/>
      <w:r>
        <w:rPr>
          <w:rFonts w:cstheme="minorHAnsi"/>
        </w:rPr>
        <w:t>Ingleton</w:t>
      </w:r>
      <w:proofErr w:type="spellEnd"/>
      <w:r>
        <w:rPr>
          <w:rFonts w:cstheme="minorHAnsi"/>
        </w:rPr>
        <w:t xml:space="preserve"> Conservation Area);</w:t>
      </w:r>
    </w:p>
    <w:p w:rsidR="0054577A" w:rsidRPr="0054577A" w:rsidRDefault="0054577A" w:rsidP="0054577A">
      <w:pPr>
        <w:ind w:left="425"/>
        <w:contextualSpacing/>
        <w:rPr>
          <w:rFonts w:cstheme="minorHAnsi"/>
        </w:rPr>
      </w:pPr>
    </w:p>
    <w:p w:rsidR="0054577A" w:rsidRPr="0054577A" w:rsidRDefault="0054577A" w:rsidP="0054577A">
      <w:pPr>
        <w:numPr>
          <w:ilvl w:val="0"/>
          <w:numId w:val="10"/>
        </w:numPr>
        <w:contextualSpacing/>
        <w:rPr>
          <w:rFonts w:cstheme="minorHAnsi"/>
        </w:rPr>
      </w:pPr>
      <w:r w:rsidRPr="0054577A">
        <w:rPr>
          <w:rFonts w:cstheme="minorHAnsi"/>
        </w:rPr>
        <w:t>A fluvial flood risk hazard has been identified within the western part of the site. D</w:t>
      </w:r>
      <w:r w:rsidRPr="0054577A">
        <w:rPr>
          <w:rFonts w:eastAsia="Calibri" w:cstheme="minorHAnsi"/>
        </w:rPr>
        <w:t>evelopment proposals must therefore be supported by a Flood Risk Assessment and drainage strategy which has informed the design, layout and landscaping of the site. Proposals will incorporate Sustainable Drainage</w:t>
      </w:r>
      <w:r>
        <w:rPr>
          <w:rFonts w:eastAsia="Calibri" w:cstheme="minorHAnsi"/>
        </w:rPr>
        <w:t xml:space="preserve"> Systems (</w:t>
      </w:r>
      <w:proofErr w:type="spellStart"/>
      <w:r>
        <w:rPr>
          <w:rFonts w:eastAsia="Calibri" w:cstheme="minorHAnsi"/>
        </w:rPr>
        <w:t>SuDS</w:t>
      </w:r>
      <w:proofErr w:type="spellEnd"/>
      <w:r>
        <w:rPr>
          <w:rFonts w:eastAsia="Calibri" w:cstheme="minorHAnsi"/>
        </w:rPr>
        <w:t>), where possible;</w:t>
      </w:r>
      <w:bookmarkStart w:id="0" w:name="_GoBack"/>
      <w:bookmarkEnd w:id="0"/>
    </w:p>
    <w:p w:rsidR="0054577A" w:rsidRPr="0054577A" w:rsidRDefault="0054577A" w:rsidP="0054577A">
      <w:pPr>
        <w:rPr>
          <w:rFonts w:cstheme="minorHAnsi"/>
        </w:rPr>
      </w:pPr>
    </w:p>
    <w:p w:rsidR="0054577A" w:rsidRPr="0054577A" w:rsidRDefault="0054577A" w:rsidP="0054577A">
      <w:pPr>
        <w:numPr>
          <w:ilvl w:val="0"/>
          <w:numId w:val="10"/>
        </w:numPr>
        <w:contextualSpacing/>
        <w:rPr>
          <w:rFonts w:cstheme="minorHAnsi"/>
          <w:color w:val="000000"/>
        </w:rPr>
      </w:pPr>
      <w:r w:rsidRPr="0054577A">
        <w:rPr>
          <w:rFonts w:eastAsia="Calibri" w:cstheme="minorHAnsi"/>
          <w:color w:val="000000"/>
        </w:rPr>
        <w:t>The site is in a prominent location. Development proposals should be carefully and sensitively designed to minimise visual impact on the character and appearance of the area, and include measures to minimise impacts on air quality, noise and light pollution;</w:t>
      </w:r>
    </w:p>
    <w:p w:rsidR="0054577A" w:rsidRPr="0054577A" w:rsidRDefault="0054577A" w:rsidP="0054577A">
      <w:pPr>
        <w:ind w:left="425"/>
        <w:contextualSpacing/>
        <w:rPr>
          <w:rFonts w:cstheme="minorHAnsi"/>
          <w:color w:val="000000"/>
        </w:rPr>
      </w:pPr>
    </w:p>
    <w:p w:rsidR="0054577A" w:rsidRPr="0054577A" w:rsidRDefault="0054577A" w:rsidP="0054577A">
      <w:pPr>
        <w:numPr>
          <w:ilvl w:val="0"/>
          <w:numId w:val="10"/>
        </w:numPr>
        <w:spacing w:before="120" w:after="120"/>
        <w:contextualSpacing/>
        <w:rPr>
          <w:rFonts w:cstheme="minorHAnsi"/>
          <w:color w:val="000000"/>
        </w:rPr>
      </w:pPr>
      <w:r w:rsidRPr="0054577A">
        <w:rPr>
          <w:rFonts w:cstheme="minorHAnsi"/>
          <w:color w:val="000000"/>
        </w:rPr>
        <w:t>Access to the site is to be gained from the B6255;</w:t>
      </w:r>
    </w:p>
    <w:p w:rsidR="0054577A" w:rsidRPr="0054577A" w:rsidRDefault="0054577A" w:rsidP="0054577A">
      <w:pPr>
        <w:spacing w:before="120" w:after="120"/>
        <w:ind w:left="425"/>
        <w:contextualSpacing/>
        <w:rPr>
          <w:rFonts w:cstheme="minorHAnsi"/>
          <w:color w:val="000000"/>
        </w:rPr>
      </w:pPr>
    </w:p>
    <w:p w:rsidR="0054577A" w:rsidRPr="0054577A" w:rsidRDefault="0054577A" w:rsidP="0054577A">
      <w:pPr>
        <w:pStyle w:val="ListParagraph"/>
        <w:numPr>
          <w:ilvl w:val="0"/>
          <w:numId w:val="10"/>
        </w:numPr>
        <w:rPr>
          <w:rFonts w:cstheme="minorHAnsi"/>
        </w:rPr>
      </w:pPr>
      <w:r w:rsidRPr="0054577A">
        <w:rPr>
          <w:rFonts w:cstheme="minorHAnsi"/>
          <w:color w:val="000000" w:themeColor="text1"/>
        </w:rPr>
        <w:t xml:space="preserve">Development proposals for this site must accord with </w:t>
      </w:r>
      <w:r w:rsidRPr="0054577A">
        <w:rPr>
          <w:rFonts w:cstheme="minorHAnsi"/>
          <w:bCs/>
          <w:color w:val="000000" w:themeColor="text1"/>
        </w:rPr>
        <w:t>local plan policies H2, INF3 and INF6 (which set out requirements for contributions towards affordable housing, education provision and sport, open space and recreation facilities) and all other</w:t>
      </w:r>
      <w:r w:rsidRPr="0054577A">
        <w:rPr>
          <w:rFonts w:cstheme="minorHAnsi"/>
          <w:color w:val="000000" w:themeColor="text1"/>
        </w:rPr>
        <w:t xml:space="preserve"> relevant local plan policies.</w:t>
      </w:r>
    </w:p>
    <w:sectPr w:rsidR="0054577A" w:rsidRPr="0054577A"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505D" w:rsidRDefault="002A505D" w:rsidP="00FC3903">
      <w:pPr>
        <w:spacing w:after="0" w:line="240" w:lineRule="auto"/>
      </w:pPr>
      <w:r>
        <w:separator/>
      </w:r>
    </w:p>
  </w:endnote>
  <w:endnote w:type="continuationSeparator" w:id="0">
    <w:p w:rsidR="002A505D" w:rsidRDefault="002A505D"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FC3903" w:rsidRDefault="00FC3903">
        <w:pPr>
          <w:pStyle w:val="Footer"/>
          <w:jc w:val="center"/>
        </w:pPr>
        <w:r>
          <w:fldChar w:fldCharType="begin"/>
        </w:r>
        <w:r>
          <w:instrText xml:space="preserve"> PAGE   \* MERGEFORMAT </w:instrText>
        </w:r>
        <w:r>
          <w:fldChar w:fldCharType="separate"/>
        </w:r>
        <w:r w:rsidR="0054577A">
          <w:rPr>
            <w:noProof/>
          </w:rPr>
          <w:t>1</w:t>
        </w:r>
        <w:r>
          <w:rPr>
            <w:noProof/>
          </w:rPr>
          <w:fldChar w:fldCharType="end"/>
        </w:r>
      </w:p>
    </w:sdtContent>
  </w:sdt>
  <w:p w:rsidR="00FC3903" w:rsidRDefault="00FC39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505D" w:rsidRDefault="002A505D" w:rsidP="00FC3903">
      <w:pPr>
        <w:spacing w:after="0" w:line="240" w:lineRule="auto"/>
      </w:pPr>
      <w:r>
        <w:separator/>
      </w:r>
    </w:p>
  </w:footnote>
  <w:footnote w:type="continuationSeparator" w:id="0">
    <w:p w:rsidR="002A505D" w:rsidRDefault="002A505D"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52535C"/>
    <w:multiLevelType w:val="hybridMultilevel"/>
    <w:tmpl w:val="289A0044"/>
    <w:lvl w:ilvl="0" w:tplc="08090001">
      <w:start w:val="1"/>
      <w:numFmt w:val="bullet"/>
      <w:lvlText w:val=""/>
      <w:lvlJc w:val="left"/>
      <w:pPr>
        <w:ind w:left="502"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8DE6A3E"/>
    <w:multiLevelType w:val="hybridMultilevel"/>
    <w:tmpl w:val="42C4E4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C925A40"/>
    <w:multiLevelType w:val="hybridMultilevel"/>
    <w:tmpl w:val="46CC61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7"/>
  </w:num>
  <w:num w:numId="6">
    <w:abstractNumId w:val="2"/>
  </w:num>
  <w:num w:numId="7">
    <w:abstractNumId w:val="5"/>
  </w:num>
  <w:num w:numId="8">
    <w:abstractNumId w:val="1"/>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269A4"/>
    <w:rsid w:val="00073AAC"/>
    <w:rsid w:val="000D020A"/>
    <w:rsid w:val="001204BB"/>
    <w:rsid w:val="001B3FDF"/>
    <w:rsid w:val="001C3EBF"/>
    <w:rsid w:val="00240D7F"/>
    <w:rsid w:val="002A505D"/>
    <w:rsid w:val="002C0460"/>
    <w:rsid w:val="00323DA0"/>
    <w:rsid w:val="00450363"/>
    <w:rsid w:val="00486081"/>
    <w:rsid w:val="004B28FB"/>
    <w:rsid w:val="004E08BD"/>
    <w:rsid w:val="0053462A"/>
    <w:rsid w:val="0054577A"/>
    <w:rsid w:val="0055637E"/>
    <w:rsid w:val="00664307"/>
    <w:rsid w:val="006A0E5C"/>
    <w:rsid w:val="006B2820"/>
    <w:rsid w:val="0076689F"/>
    <w:rsid w:val="00776515"/>
    <w:rsid w:val="007C4CD1"/>
    <w:rsid w:val="00834C80"/>
    <w:rsid w:val="00854542"/>
    <w:rsid w:val="008E38D7"/>
    <w:rsid w:val="009D30A7"/>
    <w:rsid w:val="00A24761"/>
    <w:rsid w:val="00A6168D"/>
    <w:rsid w:val="00A90C7F"/>
    <w:rsid w:val="00AF67D0"/>
    <w:rsid w:val="00B11693"/>
    <w:rsid w:val="00B21C52"/>
    <w:rsid w:val="00B34F1D"/>
    <w:rsid w:val="00B61927"/>
    <w:rsid w:val="00BA3832"/>
    <w:rsid w:val="00BF26CD"/>
    <w:rsid w:val="00C1109B"/>
    <w:rsid w:val="00CD432F"/>
    <w:rsid w:val="00D44F86"/>
    <w:rsid w:val="00E1024F"/>
    <w:rsid w:val="00E22A10"/>
    <w:rsid w:val="00E67360"/>
    <w:rsid w:val="00F000E0"/>
    <w:rsid w:val="00F2287F"/>
    <w:rsid w:val="00F62E2A"/>
    <w:rsid w:val="00F85A12"/>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A83AF-4B4C-4853-BEE6-0A8DC036D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3</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26</cp:revision>
  <dcterms:created xsi:type="dcterms:W3CDTF">2017-02-23T16:20:00Z</dcterms:created>
  <dcterms:modified xsi:type="dcterms:W3CDTF">2019-11-11T10:24:00Z</dcterms:modified>
</cp:coreProperties>
</file>